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52341445" w14:textId="7BA22B5A" w:rsidR="00E8635A" w:rsidRPr="006846E1" w:rsidRDefault="00E8635A" w:rsidP="0020437B">
      <w:pPr>
        <w:rPr>
          <w:rFonts w:asciiTheme="minorHAnsi" w:eastAsiaTheme="majorEastAsia" w:hAnsiTheme="minorHAnsi" w:cstheme="minorHAnsi"/>
          <w:lang w:val="pl-PL"/>
        </w:rPr>
      </w:pPr>
    </w:p>
    <w:p w14:paraId="34B28CC1" w14:textId="77777777" w:rsidR="007105B7" w:rsidRDefault="007105B7" w:rsidP="007105B7">
      <w:pPr>
        <w:rPr>
          <w:rFonts w:asciiTheme="minorHAnsi" w:hAnsiTheme="minorHAnsi" w:cstheme="minorHAnsi"/>
        </w:rPr>
      </w:pPr>
    </w:p>
    <w:p w14:paraId="282BA26D" w14:textId="5413BBF3" w:rsidR="001528A8" w:rsidRPr="0080270C" w:rsidRDefault="001528A8" w:rsidP="0080270C">
      <w:pPr>
        <w:rPr>
          <w:rFonts w:eastAsiaTheme="majorEastAsia"/>
        </w:rPr>
      </w:pPr>
      <w:bookmarkStart w:id="0" w:name="_Toc123737529"/>
      <w:r w:rsidRPr="002419A1">
        <w:rPr>
          <w:rFonts w:asciiTheme="minorHAnsi" w:hAnsiTheme="minorHAnsi" w:cstheme="minorHAnsi"/>
          <w:b/>
          <w:color w:val="034EA2" w:themeColor="text2"/>
          <w:sz w:val="44"/>
          <w:szCs w:val="44"/>
        </w:rPr>
        <w:t>Press release in Finnish</w:t>
      </w:r>
      <w:bookmarkEnd w:id="0"/>
    </w:p>
    <w:p w14:paraId="6F5FA036" w14:textId="77777777" w:rsidR="00BB3D1D" w:rsidRPr="00BB3D1D" w:rsidRDefault="00BB3D1D" w:rsidP="00BB3D1D">
      <w:pPr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Metalleja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akkujen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valmistukseen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geotermisestä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suolavedestä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?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BrineRIS-hankkeella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pyritään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auttamaan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>tässä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sz w:val="44"/>
          <w:szCs w:val="44"/>
          <w:lang w:val="en-US"/>
        </w:rPr>
        <w:t xml:space="preserve">. </w:t>
      </w:r>
    </w:p>
    <w:p w14:paraId="4292332D" w14:textId="72F37929" w:rsid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Päivämäärä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: 26.04.2022,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Lucyna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Róg-Wolska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</w:p>
    <w:p w14:paraId="017C1F45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</w:p>
    <w:p w14:paraId="7DC20D0D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Useiden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akateemisten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keskusten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tutkimuslaitosten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tutkijat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yhdistäneet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voimansa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teollisuuskumppaneiden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testatakseen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onko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arvokkaiden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metallien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kannattava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valikoiduista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pohjavesistä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mahdollista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Yhdeksän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eurooppalaista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kumppania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aloittanut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analysoinnin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tutkimuksen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Puolassa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Unkarissa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Tšekissä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Slovakiassa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Espanjassa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Portugalissa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Yhteistyötä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johtaa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Wrocławin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teknillinen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yliopisto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187BA569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BrineRIS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*-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hanketta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johtaa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tohtori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Magdalena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Worsa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-Kozak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geotekniikan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kaivos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geologian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tiedekunnasta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yhdessä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tutkijoiden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kaivososastolta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geodesian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geoinformatiikan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laitokselta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sekä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kemian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tiedekunnan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tutkijoiden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He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työskentelevät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yhdessä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kumppaneiden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Puolasta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Belgiasta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Suomesta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Unkarista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Saksasta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Espanjasta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5A856005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Yhdessä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he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aikovat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kerätä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saatavilla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olevaa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tietoa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potentiaalista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kuudessa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EIT:n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alueelliseen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innovaatio-ohjelmaan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(EIT RIS)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kuuluvassa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eli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Puolassa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Unkarissa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Tšekin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tasavallassa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Slovakiassa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Espanjassa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Portugalissa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Mutta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siinä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ole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vielä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kaikki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- he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analysoivat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valittuja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12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potentiaalista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lähdettä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siltä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voidaan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louhia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metalleja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kolmen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kehitteillä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olevan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teknologian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avulla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49C18678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Hanketta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jonka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budjetti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1,7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miljoonaa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euroa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rahoitetaan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EU:n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varoista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KAVA 8 EIT Raw Materials -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ohjelmasta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.</w:t>
      </w:r>
    </w:p>
    <w:p w14:paraId="20507D97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</w:p>
    <w:p w14:paraId="4AEED515" w14:textId="77777777" w:rsidR="00BB3D1D" w:rsidRPr="00BB3D1D" w:rsidRDefault="00BB3D1D" w:rsidP="00BB3D1D">
      <w:pPr>
        <w:rPr>
          <w:rFonts w:asciiTheme="minorHAnsi" w:eastAsia="MS Mincho" w:hAnsiTheme="minorHAnsi" w:cstheme="minorHAnsi"/>
          <w:b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Miksi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litium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niin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tärkeä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? </w:t>
      </w:r>
    </w:p>
    <w:p w14:paraId="47716E8E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metalleista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suuri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merkitys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muun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nopeasti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kasvavalle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sähköautoteollisuudelle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käytetään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autojen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akkujen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valmistuksessa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erityisesti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sellaisten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litiumioniakkujen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valmistukseen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pitkä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käyttöikä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lyhyt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latausaika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65AB14F3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Asiantuntijat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arvioivat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kysyntä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jo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nyt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erittäin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suuri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jopa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viisinkertaistuu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vuosikymmenen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loppuun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mennessä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6F4FA689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Suuri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nykyisin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tuotettavasta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louhitaan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Bolivian,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Argentiinan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Chilen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korkeilla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alueilla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sijaitsevista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sanotuista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salar-suolavarastoista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Alkuainepitoiset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vedet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ensin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pumpattava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suuriin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haihdutusaltaisiin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vesi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haihtuu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korkeissa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lämpötiloissa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useiden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kuukausien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ajan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uutto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lastRenderedPageBreak/>
        <w:t>suodatus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vaiheiden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ohella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saadaan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litiumkarbonaattia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vakaata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valkoista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jauhetta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voidaan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muuntaa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tietyiksi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teollisiksi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suoloiksi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kemikaaleiksi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tai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jalostaa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puhtaaksi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litiummetalliksi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5DB4C410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Tällaisella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tuotantoprosessilla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kuitenkin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merkittäviä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ympäristövaikutuksia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koska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se vie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valtavia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maa-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alueita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käyttää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valtavia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määriä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jota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voida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palauttaa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laskee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pohjaveden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pintaa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pumppaamisen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vuoksi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haihdutusmenetelmässä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käytettävät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kemikaalit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ongelma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sääolosuhteet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ongelma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lämpötila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ole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riittävän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korkea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haihdutusaltaiden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vesi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haihdu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7AD28209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Tämän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vuoksi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monet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keskukset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ympäri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maailmaa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työskentelevät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sanottujen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suorien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talteenottotekniikoiden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parissa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jotka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lisäävät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talteenottoprosessin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tehokkuutta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tekevät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säästä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riippumattoman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Tämä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johtuu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käytetään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sähköä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erilaisia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kemiallisia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prosesseja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eristämiseen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yhteydessä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kuitenkin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kyse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sähkön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hinnasta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vaikuttaa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tuotannon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kannattavuuteen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.</w:t>
      </w:r>
    </w:p>
    <w:p w14:paraId="78D38682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</w:p>
    <w:p w14:paraId="65DC1126" w14:textId="77777777" w:rsidR="00BB3D1D" w:rsidRPr="00BB3D1D" w:rsidRDefault="00BB3D1D" w:rsidP="00BB3D1D">
      <w:pPr>
        <w:rPr>
          <w:rFonts w:asciiTheme="minorHAnsi" w:eastAsia="MS Mincho" w:hAnsiTheme="minorHAnsi" w:cstheme="minorHAnsi"/>
          <w:b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Entä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maalämpö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? </w:t>
      </w:r>
    </w:p>
    <w:p w14:paraId="468ADC9C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ollen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toinen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mahdollinen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ratkaisu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ongelmaan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olla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geotermisestä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samalla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geotermisen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energian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käyttö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vihreän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sähkön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tuottamiseen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583E2589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Tällaisia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pilottilaitoksia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testataan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jo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useissa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maailmaa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tuotetaan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joko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litiumhydroksidia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tai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litiumkarbonaattia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Worsa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-Kozak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sanoo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Tehtävämme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testata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tällaisten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investointien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mahdollisuuksia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kuudessa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RIS-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jotka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todistetusti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suolavesivarantoja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Luomme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ollen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tietokannan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sisältää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erittäin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arvokasta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tietoa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analyysejä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sijoittajille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jotka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kiinnostuneita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kehittämään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tällaisia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laitoksia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Puolassa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Unkarissa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tai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Tšekin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tasavallassa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Slovakiassa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Espanjassa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tai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Portugalissa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Koska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Euroopan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unioni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tukee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parhaillaan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investointeja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muun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geotermisten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energialähteiden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käyttöön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hankkeemme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tulokset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johtaa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konkreettisiin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investointeihin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tuetaan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EU:n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varoista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.</w:t>
      </w:r>
    </w:p>
    <w:p w14:paraId="6332E2F1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</w:p>
    <w:p w14:paraId="32392027" w14:textId="77777777" w:rsidR="00BB3D1D" w:rsidRPr="00BB3D1D" w:rsidRDefault="00BB3D1D" w:rsidP="00BB3D1D">
      <w:pPr>
        <w:rPr>
          <w:rFonts w:asciiTheme="minorHAnsi" w:eastAsia="MS Mincho" w:hAnsiTheme="minorHAnsi" w:cstheme="minorHAnsi"/>
          <w:b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Kansainvälinen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>yhteistyö</w:t>
      </w:r>
      <w:proofErr w:type="spellEnd"/>
      <w:r w:rsidRPr="00BB3D1D">
        <w:rPr>
          <w:rFonts w:asciiTheme="minorHAnsi" w:eastAsia="MS Mincho" w:hAnsiTheme="minorHAnsi" w:cstheme="minorHAnsi"/>
          <w:b/>
          <w:color w:val="030303"/>
          <w:lang w:val="en-US"/>
        </w:rPr>
        <w:t xml:space="preserve"> </w:t>
      </w:r>
    </w:p>
    <w:p w14:paraId="54934186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Hankkeeseen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liittyy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useita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samanaikaisia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toimintatapoja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Sen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osallistujat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aikovat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muun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kerätä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kaikki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saatavilla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olevat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tiedot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suolavesien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esiintymisestä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koostumuksesta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erityisesti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-, strontium-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bariumpitoisuudesta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304584DA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hetkellä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nämä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tiedot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hyvin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hajanaisia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",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kertoo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tohtori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Worsa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-Kozak. 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ole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olemassa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ainoaa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paikkaa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kiinnostunut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yrittäjä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tarkastella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tällaisia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tietoja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poikkileikkauksellisesti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Lisäksi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esimerkiksi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kemiallista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koostumusta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koskevista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tutkimuksista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tehty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osana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muihin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aiheisiin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liittyviä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tieteellisiä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tai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investointihankkeita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tietoja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ole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koskaan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analysoitu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alkuaineiden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kannalta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ole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koskaan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julkistettu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missään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muodossa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76066A7F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Toisessa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vaiheessa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analysoidaan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valittujen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suolavesien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potentiaalia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kolmella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suoralla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talteenottotekniikalla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Gentin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yliopisto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käyttää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talteenottoon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sähkökemiallisia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menetelmiä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Geologian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tutkimuskeskus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(GTK)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adsorptiomenetelmää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GTK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liuotinuuttoa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yhteistyössä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Puolan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tiedeakatemian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kemian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osaston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6F307907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r w:rsidRPr="00BB3D1D">
        <w:rPr>
          <w:rFonts w:asciiTheme="minorHAnsi" w:eastAsia="MS Mincho" w:hAnsiTheme="minorHAnsi" w:cstheme="minorHAnsi"/>
          <w:color w:val="030303"/>
          <w:lang w:val="en-US"/>
        </w:rPr>
        <w:t>- "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Tehtävämme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testata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tekniikoita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tietyillä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suolavesilähteillä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määrittää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lähteissä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tietty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tekniikka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mahdollistaa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tietyn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määrän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alkuaineiden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talteenoton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tietyissä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reunaehdoissa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",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hankkeen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johtaja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selittää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319FFB27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lastRenderedPageBreak/>
        <w:t>Tutkijoiden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otettava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kustakin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yksityiskohtaisiin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testeihin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valitusta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sekä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pieniä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näytteitä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jotka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voidaan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analysoida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nopeasti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yksinkertaisesti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paikan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päällä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että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suuria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vesimääriä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(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noin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150-200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litraa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),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jotka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he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lähettävät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Belgiaan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Suomeen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Saksaan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tarkempia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analyysejä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varten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Niissä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otetaan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huomioon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muun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muassa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lähteen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metallipitoisuus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mutta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lämpötila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stabiilius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koska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kaikki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nämä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tekijät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tärkeitä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arvioitaessa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metallien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louhinnan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kannattavuutta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suolavedestä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6172D983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Analysoimme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niitä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suolavesiä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lämpötila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alhaisempi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esimerkiksi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noin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40 tai 60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celsiusastetta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eivätkä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ne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sovellu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sähköntuotantoon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Worsa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-Kozak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sanoo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-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Toisaalta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ne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soveltua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lämmöntuotantoon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minkä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vuoksi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TU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Freibergin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tutkijat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luokittelevat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ne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lämpöä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voitaisiin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käyttää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itse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teknologisen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prosessin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parantamiseen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esimerkiksi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jäähdytettävän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lämmittämiseen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testattavien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teknologioiden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tehokkuuden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parantamiseen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kustannusten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alentamiseen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0E0F6856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Hankkeessa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luodaan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portaali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niille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jotka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kiinnostuneita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investoimaan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tuotantolaitoksiin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niillä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pääsy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BrineRIS-ohjelman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puitteissa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laadittuihin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tietoihin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analyyseihin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</w:p>
    <w:p w14:paraId="00225462" w14:textId="77777777" w:rsidR="00BB3D1D" w:rsidRP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Suunnitteilla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avoimia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työpajoja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geotermisten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suolavesien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mahdollisuuksista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tutkijoiden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opintokäyntejä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ja Vulcan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Energie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Ressourcenin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järjestämä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kesäkoulu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opiskelijoille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Karlsruhessa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Hankkeessa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tuotetaan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myös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insinööri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-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maisterintutkielmia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.</w:t>
      </w:r>
    </w:p>
    <w:p w14:paraId="1B5DA79A" w14:textId="77777777" w:rsidR="00BB3D1D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</w:p>
    <w:p w14:paraId="00D5DA26" w14:textId="2211AE6F" w:rsidR="00560AC8" w:rsidRPr="00034E29" w:rsidRDefault="00BB3D1D" w:rsidP="00BB3D1D">
      <w:pPr>
        <w:rPr>
          <w:rFonts w:asciiTheme="minorHAnsi" w:eastAsia="MS Mincho" w:hAnsiTheme="minorHAnsi" w:cstheme="minorHAnsi"/>
          <w:color w:val="030303"/>
          <w:lang w:val="en-US"/>
        </w:rPr>
      </w:pPr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*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BrineRIS-hankkeen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aiheena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on "RIS-maiden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suolavedet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CRM- ja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energianlähteenä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".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Hankkeen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yhteistyökumppanit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ovat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Wroclawin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teknillinen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yliopisto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(Wroclaw University of Technology),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joka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johtaa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hanketta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, CSIC (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Espanjan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kansallinen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tutkimusneuvosto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),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Miskolcin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yliopisto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Gentin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yliopisto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, TUBA Freiberg,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Euroopan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litiuminstituutti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(European Lithium Institute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eLi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), GTK (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Geologian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 xml:space="preserve"> </w:t>
      </w:r>
      <w:proofErr w:type="spellStart"/>
      <w:r w:rsidRPr="00BB3D1D">
        <w:rPr>
          <w:rFonts w:asciiTheme="minorHAnsi" w:eastAsia="MS Mincho" w:hAnsiTheme="minorHAnsi" w:cstheme="minorHAnsi"/>
          <w:color w:val="030303"/>
          <w:lang w:val="en-US"/>
        </w:rPr>
        <w:t>tutkimuskeskus</w:t>
      </w:r>
      <w:proofErr w:type="spellEnd"/>
      <w:r w:rsidRPr="00BB3D1D">
        <w:rPr>
          <w:rFonts w:asciiTheme="minorHAnsi" w:eastAsia="MS Mincho" w:hAnsiTheme="minorHAnsi" w:cstheme="minorHAnsi"/>
          <w:color w:val="030303"/>
          <w:lang w:val="en-US"/>
        </w:rPr>
        <w:t>) ja Redstone Exploration Services.</w:t>
      </w:r>
    </w:p>
    <w:p w14:paraId="6CA7D173" w14:textId="6F04316A" w:rsidR="0067311E" w:rsidRPr="00034E29" w:rsidRDefault="0067311E" w:rsidP="00D944F8">
      <w:pPr>
        <w:rPr>
          <w:rFonts w:asciiTheme="minorHAnsi" w:eastAsia="MS Mincho" w:hAnsiTheme="minorHAnsi" w:cstheme="minorHAnsi"/>
          <w:color w:val="030303"/>
          <w:lang w:val="en-US"/>
        </w:rPr>
      </w:pPr>
    </w:p>
    <w:sectPr w:rsidR="0067311E" w:rsidRPr="00034E29" w:rsidSect="00D944F8">
      <w:footerReference w:type="default" r:id="rId15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EF73" w14:textId="77777777" w:rsidR="00AA21C1" w:rsidRDefault="00AA21C1">
      <w:pPr>
        <w:spacing w:after="0" w:line="240" w:lineRule="auto"/>
      </w:pPr>
      <w:r>
        <w:separator/>
      </w:r>
    </w:p>
  </w:endnote>
  <w:endnote w:type="continuationSeparator" w:id="0">
    <w:p w14:paraId="0A4BEF5E" w14:textId="77777777" w:rsidR="00AA21C1" w:rsidRDefault="00AA21C1">
      <w:pPr>
        <w:spacing w:after="0" w:line="240" w:lineRule="auto"/>
      </w:pPr>
      <w:r>
        <w:continuationSeparator/>
      </w:r>
    </w:p>
  </w:endnote>
  <w:endnote w:type="continuationNotice" w:id="1">
    <w:p w14:paraId="63FE1556" w14:textId="77777777" w:rsidR="00AA21C1" w:rsidRDefault="00AA2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A1BD" w14:textId="77777777" w:rsidR="00AA21C1" w:rsidRDefault="00AA21C1">
      <w:pPr>
        <w:spacing w:after="0" w:line="240" w:lineRule="auto"/>
      </w:pPr>
      <w:r>
        <w:separator/>
      </w:r>
    </w:p>
  </w:footnote>
  <w:footnote w:type="continuationSeparator" w:id="0">
    <w:p w14:paraId="77BE1870" w14:textId="77777777" w:rsidR="00AA21C1" w:rsidRDefault="00AA21C1">
      <w:pPr>
        <w:spacing w:after="0" w:line="240" w:lineRule="auto"/>
      </w:pPr>
      <w:r>
        <w:continuationSeparator/>
      </w:r>
    </w:p>
  </w:footnote>
  <w:footnote w:type="continuationNotice" w:id="1">
    <w:p w14:paraId="24A0DCE4" w14:textId="77777777" w:rsidR="00AA21C1" w:rsidRDefault="00AA2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BB5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3B0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D8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270C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58AF"/>
    <w:rsid w:val="00886BF5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1C1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D7BA9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256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2023-01-10T12:19:00Z</cp:lastPrinted>
  <dcterms:created xsi:type="dcterms:W3CDTF">2023-01-10T12:20:00Z</dcterms:created>
  <dcterms:modified xsi:type="dcterms:W3CDTF">2023-01-10T12:20:00Z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